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7A" w:rsidRPr="0077217A" w:rsidRDefault="0077217A" w:rsidP="0077217A">
      <w:pPr>
        <w:widowControl/>
        <w:jc w:val="left"/>
        <w:rPr>
          <w:rFonts w:ascii="微软雅黑" w:eastAsia="微软雅黑" w:hAnsi="微软雅黑" w:cs="宋体"/>
          <w:color w:val="000000"/>
          <w:kern w:val="0"/>
          <w:sz w:val="24"/>
          <w:szCs w:val="24"/>
        </w:rPr>
      </w:pPr>
      <w:r w:rsidRPr="0077217A">
        <w:rPr>
          <w:rFonts w:ascii="微软雅黑" w:eastAsia="微软雅黑" w:hAnsi="微软雅黑" w:cs="宋体"/>
          <w:noProof/>
          <w:color w:val="000000"/>
          <w:kern w:val="0"/>
          <w:sz w:val="24"/>
          <w:szCs w:val="24"/>
        </w:rPr>
        <w:drawing>
          <wp:inline distT="0" distB="0" distL="0" distR="0" wp14:anchorId="576116EC" wp14:editId="42B93188">
            <wp:extent cx="5248275" cy="779952"/>
            <wp:effectExtent l="0" t="0" r="0" b="1270"/>
            <wp:docPr id="3" name="图片 3" descr="http://www.dlpu.edu.cn/images/doc/title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pu.edu.cn/images/doc/title_puschoo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48275" cy="779952"/>
                    </a:xfrm>
                    <a:prstGeom prst="rect">
                      <a:avLst/>
                    </a:prstGeom>
                    <a:noFill/>
                    <a:ln>
                      <a:noFill/>
                    </a:ln>
                  </pic:spPr>
                </pic:pic>
              </a:graphicData>
            </a:graphic>
          </wp:inline>
        </w:drawing>
      </w:r>
    </w:p>
    <w:p w:rsidR="0077217A" w:rsidRPr="0077217A" w:rsidRDefault="0077217A" w:rsidP="0077217A">
      <w:pPr>
        <w:widowControl/>
        <w:jc w:val="center"/>
        <w:rPr>
          <w:rFonts w:ascii="仿宋_GB2312" w:eastAsia="仿宋_GB2312" w:hAnsi="宋体" w:cs="宋体" w:hint="eastAsia"/>
          <w:color w:val="000000"/>
          <w:kern w:val="0"/>
          <w:sz w:val="24"/>
          <w:szCs w:val="24"/>
        </w:rPr>
      </w:pPr>
      <w:r w:rsidRPr="0077217A">
        <w:rPr>
          <w:rFonts w:ascii="仿宋_GB2312" w:eastAsia="仿宋_GB2312" w:hAnsi="宋体" w:cs="宋体" w:hint="eastAsia"/>
          <w:color w:val="000000"/>
          <w:kern w:val="0"/>
          <w:sz w:val="24"/>
          <w:szCs w:val="24"/>
        </w:rPr>
        <w:t>大</w:t>
      </w:r>
      <w:proofErr w:type="gramStart"/>
      <w:r w:rsidRPr="0077217A">
        <w:rPr>
          <w:rFonts w:ascii="仿宋_GB2312" w:eastAsia="仿宋_GB2312" w:hAnsi="宋体" w:cs="宋体" w:hint="eastAsia"/>
          <w:color w:val="000000"/>
          <w:kern w:val="0"/>
          <w:sz w:val="24"/>
          <w:szCs w:val="24"/>
        </w:rPr>
        <w:t>工大校发〔2020〕</w:t>
      </w:r>
      <w:proofErr w:type="gramEnd"/>
      <w:r w:rsidRPr="0077217A">
        <w:rPr>
          <w:rFonts w:ascii="仿宋_GB2312" w:eastAsia="仿宋_GB2312" w:hAnsi="宋体" w:cs="宋体" w:hint="eastAsia"/>
          <w:color w:val="000000"/>
          <w:kern w:val="0"/>
          <w:sz w:val="24"/>
          <w:szCs w:val="24"/>
        </w:rPr>
        <w:t>15号</w:t>
      </w:r>
    </w:p>
    <w:p w:rsidR="0077217A" w:rsidRPr="0077217A" w:rsidRDefault="0077217A" w:rsidP="0077217A">
      <w:pPr>
        <w:widowControl/>
        <w:jc w:val="left"/>
        <w:rPr>
          <w:rFonts w:ascii="微软雅黑" w:eastAsia="微软雅黑" w:hAnsi="微软雅黑" w:cs="宋体" w:hint="eastAsia"/>
          <w:color w:val="000000"/>
          <w:kern w:val="0"/>
          <w:sz w:val="24"/>
          <w:szCs w:val="24"/>
        </w:rPr>
      </w:pPr>
      <w:r w:rsidRPr="0077217A">
        <w:rPr>
          <w:rFonts w:ascii="微软雅黑" w:eastAsia="微软雅黑" w:hAnsi="微软雅黑" w:cs="宋体" w:hint="eastAsia"/>
          <w:color w:val="000000"/>
          <w:kern w:val="0"/>
          <w:sz w:val="24"/>
          <w:szCs w:val="24"/>
        </w:rPr>
        <w:pict>
          <v:rect id="_x0000_i1025" style="width:415.3pt;height:2.25pt" o:hralign="center" o:hrstd="t" o:hrnoshade="t" o:hr="t" fillcolor="red" stroked="f"/>
        </w:pict>
      </w:r>
    </w:p>
    <w:p w:rsidR="0077217A" w:rsidRPr="0077217A" w:rsidRDefault="0077217A" w:rsidP="0077217A">
      <w:pPr>
        <w:widowControl/>
        <w:jc w:val="center"/>
        <w:rPr>
          <w:rFonts w:ascii="微软雅黑" w:eastAsia="微软雅黑" w:hAnsi="微软雅黑" w:cs="宋体" w:hint="eastAsia"/>
          <w:color w:val="000000"/>
          <w:kern w:val="0"/>
          <w:sz w:val="24"/>
          <w:szCs w:val="24"/>
        </w:rPr>
      </w:pPr>
      <w:r w:rsidRPr="0077217A">
        <w:rPr>
          <w:rFonts w:ascii="微软雅黑" w:eastAsia="微软雅黑" w:hAnsi="微软雅黑" w:cs="宋体" w:hint="eastAsia"/>
          <w:color w:val="000000"/>
          <w:kern w:val="0"/>
          <w:sz w:val="24"/>
          <w:szCs w:val="24"/>
        </w:rPr>
        <w:t>国家杰出青年科学基金经费使用管理办法（暂行）</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第一章</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总</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则</w:t>
      </w:r>
    </w:p>
    <w:p w:rsidR="0077217A" w:rsidRPr="0077217A" w:rsidRDefault="0077217A" w:rsidP="0077217A">
      <w:pPr>
        <w:widowControl/>
        <w:spacing w:before="100" w:beforeAutospacing="1" w:after="100" w:afterAutospacing="1" w:line="640" w:lineRule="atLeast"/>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 xml:space="preserve">　　第一条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为了规范国家杰出青年科学基金试点项目（以下简称项目）经费的使用和管理，提高资金使用效益，根据《国家自然科学基金资助项目资金管理办法》及补充通知、《国家自然科学基金委员会</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科学技术部</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财政部关于在国家杰出青年科学基金中试点项目经费使用“包干制”的通知》（国科金发计[2019]71号）等有关规定制定本办法。</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第二条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为深入贯彻落实党中央、国务院关于科研项目、经费管理的改革精神，充分放权、放管结合、协同推进，自2019年起批准资助的国家杰出青年科学基金项目经费实行“包干制”。</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第三条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除本办法另有规定外, 执行《大连工业大学纵向科研经费使用管理办法（暂行）》（大</w:t>
      </w:r>
      <w:proofErr w:type="gramStart"/>
      <w:r w:rsidRPr="0077217A">
        <w:rPr>
          <w:rFonts w:ascii="仿宋" w:eastAsia="仿宋" w:hAnsi="宋体" w:cs="宋体" w:hint="eastAsia"/>
          <w:color w:val="000000"/>
          <w:kern w:val="0"/>
          <w:sz w:val="24"/>
          <w:szCs w:val="24"/>
        </w:rPr>
        <w:t>工大校发</w:t>
      </w:r>
      <w:proofErr w:type="gramEnd"/>
      <w:r w:rsidRPr="0077217A">
        <w:rPr>
          <w:rFonts w:ascii="仿宋" w:eastAsia="仿宋" w:hAnsi="宋体" w:cs="宋体" w:hint="eastAsia"/>
          <w:color w:val="000000"/>
          <w:kern w:val="0"/>
          <w:sz w:val="24"/>
          <w:szCs w:val="24"/>
        </w:rPr>
        <w:t>[2019]147号）和《大连工业大学公务卡结算及报销管理办法》（</w:t>
      </w:r>
      <w:proofErr w:type="gramStart"/>
      <w:r w:rsidRPr="0077217A">
        <w:rPr>
          <w:rFonts w:ascii="仿宋" w:eastAsia="仿宋" w:hAnsi="宋体" w:cs="宋体" w:hint="eastAsia"/>
          <w:color w:val="000000"/>
          <w:kern w:val="0"/>
          <w:sz w:val="24"/>
          <w:szCs w:val="24"/>
        </w:rPr>
        <w:t>校发</w:t>
      </w:r>
      <w:proofErr w:type="gramEnd"/>
      <w:r w:rsidRPr="0077217A">
        <w:rPr>
          <w:rFonts w:ascii="仿宋" w:eastAsia="仿宋" w:hAnsi="宋体" w:cs="宋体" w:hint="eastAsia"/>
          <w:color w:val="000000"/>
          <w:kern w:val="0"/>
          <w:sz w:val="24"/>
          <w:szCs w:val="24"/>
        </w:rPr>
        <w:t>[2018]249号）。</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第二章</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项目经费管理</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第四条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项目经费不再分为直接费用和间接费用，项目资助强度为</w:t>
      </w:r>
      <w:proofErr w:type="gramStart"/>
      <w:r w:rsidRPr="0077217A">
        <w:rPr>
          <w:rFonts w:ascii="仿宋" w:eastAsia="仿宋" w:hAnsi="宋体" w:cs="宋体" w:hint="eastAsia"/>
          <w:color w:val="000000"/>
          <w:kern w:val="0"/>
          <w:sz w:val="24"/>
          <w:szCs w:val="24"/>
        </w:rPr>
        <w:t>原直接</w:t>
      </w:r>
      <w:proofErr w:type="gramEnd"/>
      <w:r w:rsidRPr="0077217A">
        <w:rPr>
          <w:rFonts w:ascii="仿宋" w:eastAsia="仿宋" w:hAnsi="宋体" w:cs="宋体" w:hint="eastAsia"/>
          <w:color w:val="000000"/>
          <w:kern w:val="0"/>
          <w:sz w:val="24"/>
          <w:szCs w:val="24"/>
        </w:rPr>
        <w:t>费用强度和间接费用强度之</w:t>
      </w:r>
      <w:proofErr w:type="gramStart"/>
      <w:r w:rsidRPr="0077217A">
        <w:rPr>
          <w:rFonts w:ascii="仿宋" w:eastAsia="仿宋" w:hAnsi="宋体" w:cs="宋体" w:hint="eastAsia"/>
          <w:color w:val="000000"/>
          <w:kern w:val="0"/>
          <w:sz w:val="24"/>
          <w:szCs w:val="24"/>
        </w:rPr>
        <w:t>和</w:t>
      </w:r>
      <w:proofErr w:type="gramEnd"/>
      <w:r w:rsidRPr="0077217A">
        <w:rPr>
          <w:rFonts w:ascii="仿宋" w:eastAsia="仿宋" w:hAnsi="宋体" w:cs="宋体" w:hint="eastAsia"/>
          <w:color w:val="000000"/>
          <w:kern w:val="0"/>
          <w:sz w:val="24"/>
          <w:szCs w:val="24"/>
        </w:rPr>
        <w:t>。</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lastRenderedPageBreak/>
        <w:t>第五条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项目申请人提交申请书和获批项目负责人提交计划书时，均无需编制项目预算。</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第六条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项目负责人需签署承诺书，承诺尊重科研规律，弘扬科学家精神，遵守科研伦理道德和作风学风诚信要求，认真开展科学研究工作；承诺项目经费全部用于与本项目研究工作相关的支出，不得截留、挪用、侵占，不得用于与科学研究无关的支出。</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第三章</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项目资金开支范围</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第七条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项目经费使用范围限于设备费、材料费、测试化验加工费、燃料动力费、差旅费、会议费、国际合作与交流费、出版/文献/信息传播/知识产权事务费、劳务费、专家咨询费、学校管理费用、绩效支出以及其他合理支出。</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（1）设备费：是指在项目实施过程中购置、运输、安装或试制专用仪器设备，以及对现有仪器设备进行升级改造或租赁使用外单位仪器设备而发生的费用。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项目经费购置的仪器、设备等固定资产或形成的知识产权等无形资产，均属于国有资产，纳入学校资产管理，其购置和处置须按国家和学校有关规定办理。</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（2）材料费：是指在项目实施过程中所消耗的各种原材料、辅助材料等低值易消耗品的采购、运输、装卸和整理等费用。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lastRenderedPageBreak/>
        <w:t>（3）测试化验加工费：是指在项目实施过程中所发生的检验、测试、设计、化验及加工等费用。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（4）燃料动力费：是指在项目研究过程中相关大型仪器设备、专用科学装置等运行发生的可以单独计量的水、电、气、燃料等费用。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（5）差旅费：是指在项目实施过程中开展科学实验（试验）、科学考察、业务调研、学术交流等所发生的外埠差旅费、市内交通费用等。差旅费的开支标准按国家有关规定执行。</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（6）会议费：是指在项目实施过程中组织开展相关的专题技术、学术会议、咨询以及协调等活动而发生的会议费用。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（7）国际合作与交流费：是指在项目实施过程中课题研究人员出国及外国专家来华工作而发生的费用。国际合作与交流费开支严格执行国家外事经费管理有关规定。</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（8）出版/文献/信息传播/知识产权事务费：是指在项</w:t>
      </w:r>
    </w:p>
    <w:p w:rsidR="0077217A" w:rsidRPr="0077217A" w:rsidRDefault="0077217A" w:rsidP="0077217A">
      <w:pPr>
        <w:widowControl/>
        <w:spacing w:before="100" w:beforeAutospacing="1" w:after="100" w:afterAutospacing="1" w:line="640" w:lineRule="atLeast"/>
        <w:rPr>
          <w:rFonts w:ascii="仿宋_GB2312" w:eastAsia="仿宋_GB2312" w:hAnsi="宋体" w:cs="宋体" w:hint="eastAsia"/>
          <w:color w:val="000000"/>
          <w:kern w:val="0"/>
          <w:sz w:val="24"/>
          <w:szCs w:val="24"/>
        </w:rPr>
      </w:pPr>
      <w:proofErr w:type="gramStart"/>
      <w:r w:rsidRPr="0077217A">
        <w:rPr>
          <w:rFonts w:ascii="仿宋" w:eastAsia="仿宋" w:hAnsi="宋体" w:cs="宋体" w:hint="eastAsia"/>
          <w:color w:val="000000"/>
          <w:kern w:val="0"/>
          <w:sz w:val="24"/>
          <w:szCs w:val="24"/>
        </w:rPr>
        <w:t>目实施</w:t>
      </w:r>
      <w:proofErr w:type="gramEnd"/>
      <w:r w:rsidRPr="0077217A">
        <w:rPr>
          <w:rFonts w:ascii="仿宋" w:eastAsia="仿宋" w:hAnsi="宋体" w:cs="宋体" w:hint="eastAsia"/>
          <w:color w:val="000000"/>
          <w:kern w:val="0"/>
          <w:sz w:val="24"/>
          <w:szCs w:val="24"/>
        </w:rPr>
        <w:t>过程中，需要支付的出版费、资料费、印刷费、专用软件购买费、文献检索费、专业通信费、专利申请及其他知识产权事务等费用。</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（9）劳务费：是指在项目实施过程中支付给项目组成员中没有工资性收入的相关人员的劳务性费用。参与项目研究的研究生、博士后人员、访问学者以</w:t>
      </w:r>
      <w:r w:rsidRPr="0077217A">
        <w:rPr>
          <w:rFonts w:ascii="仿宋" w:eastAsia="仿宋" w:hAnsi="宋体" w:cs="宋体" w:hint="eastAsia"/>
          <w:color w:val="000000"/>
          <w:kern w:val="0"/>
          <w:sz w:val="24"/>
          <w:szCs w:val="24"/>
        </w:rPr>
        <w:lastRenderedPageBreak/>
        <w:t>及项目聘用的研究人员、科研辅助人员等，均可开支劳务费，其社会保险补助纳入劳务费科目列支。</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劳务性费用一律发至本人个人银行账户，并依法缴纳个人所得税。</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10）专家咨询费：是指在项目实施过程中支付给临时聘请的咨询专家的咨询费、鉴定费、评审费等。专家咨询费不得支付给本课题组参与项目研究及其管理的相关人员。院士、全国知名专家，可按照高级专业技术职称人员的专家咨询费标准上浮50%执行。开支标准见下表。</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_GB2312" w:eastAsia="仿宋_GB2312" w:hAnsi="宋体" w:cs="宋体"/>
          <w:noProof/>
          <w:color w:val="000000"/>
          <w:kern w:val="0"/>
          <w:sz w:val="24"/>
          <w:szCs w:val="24"/>
        </w:rPr>
        <w:drawing>
          <wp:inline distT="0" distB="0" distL="0" distR="0" wp14:anchorId="55ADF80F" wp14:editId="0E12467F">
            <wp:extent cx="5876925" cy="3790950"/>
            <wp:effectExtent l="0" t="0" r="9525" b="0"/>
            <wp:docPr id="2" name="图片 2" descr="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3790950"/>
                    </a:xfrm>
                    <a:prstGeom prst="rect">
                      <a:avLst/>
                    </a:prstGeom>
                    <a:noFill/>
                    <a:ln>
                      <a:noFill/>
                    </a:ln>
                  </pic:spPr>
                </pic:pic>
              </a:graphicData>
            </a:graphic>
          </wp:inline>
        </w:drawing>
      </w:r>
      <w:r w:rsidRPr="0077217A">
        <w:rPr>
          <w:rFonts w:ascii="仿宋" w:eastAsia="仿宋" w:hAnsi="宋体" w:cs="宋体" w:hint="eastAsia"/>
          <w:color w:val="000000"/>
          <w:kern w:val="0"/>
          <w:sz w:val="24"/>
          <w:szCs w:val="24"/>
        </w:rPr>
        <w:t> </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（11）管理费用：是指学校提取的管理费。按照总经费的5%提取管理费，用于补偿学校科研管理成本的相关支出，由学校统筹使用。</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lastRenderedPageBreak/>
        <w:t>（12）绩效支出：是指承担课题任务的单位为提高科研工作绩效安排的相关支出，只能用于项目组成员中的在职在编人员，支出安排与科研人员在项目工作中的实际贡献挂钩。绩效支出不设比例限制。</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绩效支出由项目负责人根据实际科研需要和相关薪酬标准自主确定，学校按照现行工资制度进行管理。</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color w:val="000000"/>
          <w:kern w:val="0"/>
          <w:sz w:val="24"/>
          <w:szCs w:val="24"/>
        </w:rPr>
        <w:t>（13）其他费用：是指在项目实施过程中除上述支出项目之外的其他支出。</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第八条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经费使用无额度限制，由项目负责人根据实际需要自主决定使用。科研人员必须按照实际开展的科研活动据实支出，必</w:t>
      </w:r>
      <w:r w:rsidRPr="0077217A">
        <w:rPr>
          <w:rFonts w:ascii="仿宋" w:eastAsia="仿宋" w:hAnsi="宋体" w:cs="宋体" w:hint="eastAsia"/>
          <w:b/>
          <w:bCs/>
          <w:color w:val="000000"/>
          <w:kern w:val="0"/>
          <w:sz w:val="24"/>
          <w:szCs w:val="24"/>
        </w:rPr>
        <w:t>须</w:t>
      </w:r>
      <w:r w:rsidRPr="0077217A">
        <w:rPr>
          <w:rFonts w:ascii="仿宋" w:eastAsia="仿宋" w:hAnsi="宋体" w:cs="宋体" w:hint="eastAsia"/>
          <w:color w:val="000000"/>
          <w:kern w:val="0"/>
          <w:sz w:val="24"/>
          <w:szCs w:val="24"/>
        </w:rPr>
        <w:t>取得真实、合法票据进行财务报销。</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第四章</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决算验收及监督检查</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第九条</w:t>
      </w:r>
      <w:r w:rsidRPr="0077217A">
        <w:rPr>
          <w:rFonts w:ascii="仿宋" w:eastAsia="仿宋" w:hAnsi="宋体" w:cs="宋体" w:hint="eastAsia"/>
          <w:color w:val="000000"/>
          <w:kern w:val="0"/>
          <w:sz w:val="24"/>
          <w:szCs w:val="24"/>
        </w:rPr>
        <w:t> </w:t>
      </w:r>
      <w:r w:rsidRPr="0077217A">
        <w:rPr>
          <w:rFonts w:ascii="仿宋" w:eastAsia="仿宋" w:hAnsi="宋体" w:cs="宋体" w:hint="eastAsia"/>
          <w:color w:val="000000"/>
          <w:kern w:val="0"/>
          <w:sz w:val="24"/>
          <w:szCs w:val="24"/>
        </w:rPr>
        <w:t>项目结题时，项目负责人根据实际使用情况编制项目经费决算，经财务处、科技处审核后，报国家自然科学基金委员会。</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第十条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学校对项目经费支出情况进行认真审核。项目结题时，学校应在单位内部公开项目经费决算和项目结题/成果报告，接受广大科研人员监督。</w:t>
      </w:r>
    </w:p>
    <w:p w:rsidR="0077217A" w:rsidRPr="0077217A" w:rsidRDefault="0077217A" w:rsidP="0077217A">
      <w:pPr>
        <w:widowControl/>
        <w:spacing w:before="100" w:beforeAutospacing="1" w:after="100" w:afterAutospacing="1" w:line="640" w:lineRule="atLeast"/>
        <w:ind w:firstLine="645"/>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第十一条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对于不按规定管理和使用项目经费，存在截留、挪用、侵占项目经费等违规违法行为的单位和相关人员，按照相关法律法规严肃处理。</w:t>
      </w:r>
      <w:r w:rsidRPr="0077217A">
        <w:rPr>
          <w:rFonts w:ascii="仿宋" w:eastAsia="仿宋" w:hAnsi="宋体" w:cs="宋体" w:hint="eastAsia"/>
          <w:b/>
          <w:bCs/>
          <w:color w:val="000000"/>
          <w:kern w:val="0"/>
          <w:sz w:val="24"/>
          <w:szCs w:val="24"/>
        </w:rPr>
        <w:t> </w:t>
      </w:r>
    </w:p>
    <w:p w:rsidR="0077217A" w:rsidRPr="0077217A" w:rsidRDefault="0077217A" w:rsidP="0077217A">
      <w:pPr>
        <w:widowControl/>
        <w:spacing w:before="100" w:beforeAutospacing="1" w:after="100" w:afterAutospacing="1" w:line="640" w:lineRule="atLeast"/>
        <w:jc w:val="center"/>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第五章</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b/>
          <w:bCs/>
          <w:color w:val="000000"/>
          <w:kern w:val="0"/>
          <w:sz w:val="24"/>
          <w:szCs w:val="24"/>
        </w:rPr>
        <w:t>附则</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lastRenderedPageBreak/>
        <w:t>第十二条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本办法自签发之日起执行, 由财务处、科技处负责解释。</w:t>
      </w:r>
    </w:p>
    <w:p w:rsidR="0077217A" w:rsidRPr="0077217A" w:rsidRDefault="0077217A" w:rsidP="0077217A">
      <w:pPr>
        <w:widowControl/>
        <w:spacing w:before="100" w:beforeAutospacing="1" w:after="100" w:afterAutospacing="1" w:line="640" w:lineRule="atLeast"/>
        <w:ind w:firstLine="630"/>
        <w:rPr>
          <w:rFonts w:ascii="仿宋_GB2312" w:eastAsia="仿宋_GB2312" w:hAnsi="宋体" w:cs="宋体" w:hint="eastAsia"/>
          <w:color w:val="000000"/>
          <w:kern w:val="0"/>
          <w:sz w:val="24"/>
          <w:szCs w:val="24"/>
        </w:rPr>
      </w:pPr>
      <w:r w:rsidRPr="0077217A">
        <w:rPr>
          <w:rFonts w:ascii="仿宋" w:eastAsia="仿宋" w:hAnsi="宋体" w:cs="宋体" w:hint="eastAsia"/>
          <w:b/>
          <w:bCs/>
          <w:color w:val="000000"/>
          <w:kern w:val="0"/>
          <w:sz w:val="24"/>
          <w:szCs w:val="24"/>
        </w:rPr>
        <w:t>第十三条</w:t>
      </w:r>
      <w:r w:rsidRPr="0077217A">
        <w:rPr>
          <w:rFonts w:ascii="仿宋" w:eastAsia="仿宋" w:hAnsi="宋体" w:cs="宋体" w:hint="eastAsia"/>
          <w:b/>
          <w:bCs/>
          <w:color w:val="000000"/>
          <w:kern w:val="0"/>
          <w:sz w:val="24"/>
          <w:szCs w:val="24"/>
        </w:rPr>
        <w:t> </w:t>
      </w:r>
      <w:r w:rsidRPr="0077217A">
        <w:rPr>
          <w:rFonts w:ascii="仿宋" w:eastAsia="仿宋" w:hAnsi="宋体" w:cs="宋体" w:hint="eastAsia"/>
          <w:color w:val="000000"/>
          <w:kern w:val="0"/>
          <w:sz w:val="24"/>
          <w:szCs w:val="24"/>
        </w:rPr>
        <w:t>执行过程中，如与上级部门文件规定不符，按上级部门文件规定执行。</w:t>
      </w:r>
    </w:p>
    <w:p w:rsidR="0077217A" w:rsidRPr="0077217A" w:rsidRDefault="0077217A" w:rsidP="0077217A">
      <w:pPr>
        <w:widowControl/>
        <w:spacing w:before="100" w:beforeAutospacing="1" w:after="100" w:afterAutospacing="1" w:line="640" w:lineRule="atLeast"/>
        <w:rPr>
          <w:rFonts w:ascii="微软雅黑" w:eastAsia="微软雅黑" w:hAnsi="微软雅黑" w:cs="宋体" w:hint="eastAsia"/>
          <w:color w:val="000000"/>
          <w:kern w:val="0"/>
          <w:sz w:val="24"/>
          <w:szCs w:val="24"/>
        </w:rPr>
      </w:pPr>
      <w:r w:rsidRPr="0077217A">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w:t>
      </w:r>
      <w:r w:rsidRPr="0077217A">
        <w:rPr>
          <w:rFonts w:ascii="微软雅黑" w:eastAsia="微软雅黑" w:hAnsi="微软雅黑" w:cs="宋体"/>
          <w:noProof/>
          <w:color w:val="000000"/>
          <w:kern w:val="0"/>
          <w:sz w:val="24"/>
          <w:szCs w:val="24"/>
        </w:rPr>
        <w:drawing>
          <wp:inline distT="0" distB="0" distL="0" distR="0" wp14:anchorId="654ECE13" wp14:editId="1B44936C">
            <wp:extent cx="1524000" cy="1514475"/>
            <wp:effectExtent l="0" t="0" r="0" b="9525"/>
            <wp:docPr id="1" name="图片 1" descr="http://www.dlpu.edu.cn/images/doc/stmp_pu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lpu.edu.cn/images/doc/stmp_puschoo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77217A" w:rsidRPr="0077217A" w:rsidRDefault="0077217A" w:rsidP="0077217A">
      <w:pPr>
        <w:widowControl/>
        <w:ind w:firstLineChars="2550" w:firstLine="6120"/>
        <w:jc w:val="left"/>
        <w:rPr>
          <w:rFonts w:ascii="仿宋_GB2312" w:eastAsia="仿宋_GB2312" w:hAnsi="微软雅黑" w:cs="宋体" w:hint="eastAsia"/>
          <w:color w:val="000000"/>
          <w:kern w:val="0"/>
          <w:sz w:val="24"/>
          <w:szCs w:val="24"/>
        </w:rPr>
      </w:pPr>
      <w:bookmarkStart w:id="0" w:name="_GoBack"/>
      <w:bookmarkEnd w:id="0"/>
      <w:r w:rsidRPr="0077217A">
        <w:rPr>
          <w:rFonts w:ascii="仿宋_GB2312" w:eastAsia="仿宋_GB2312" w:hAnsi="微软雅黑" w:cs="宋体" w:hint="eastAsia"/>
          <w:color w:val="000000"/>
          <w:kern w:val="0"/>
          <w:sz w:val="24"/>
          <w:szCs w:val="24"/>
        </w:rPr>
        <w:t>2020年4月29日</w:t>
      </w:r>
    </w:p>
    <w:p w:rsidR="0077217A" w:rsidRPr="0077217A" w:rsidRDefault="0077217A" w:rsidP="0077217A">
      <w:pPr>
        <w:widowControl/>
        <w:jc w:val="left"/>
        <w:rPr>
          <w:rFonts w:ascii="宋体" w:eastAsia="宋体" w:hAnsi="宋体" w:cs="宋体" w:hint="eastAsia"/>
          <w:kern w:val="0"/>
          <w:sz w:val="24"/>
          <w:szCs w:val="24"/>
        </w:rPr>
      </w:pPr>
      <w:r w:rsidRPr="0077217A">
        <w:rPr>
          <w:rFonts w:ascii="宋体" w:eastAsia="宋体" w:hAnsi="宋体" w:cs="宋体"/>
          <w:kern w:val="0"/>
          <w:sz w:val="24"/>
          <w:szCs w:val="24"/>
        </w:rPr>
        <w:pict>
          <v:rect id="_x0000_i1026" style="width:928.45pt;height:.75pt" o:hrpct="0" o:hralign="center" o:hrstd="t" o:hrnoshade="t" o:hr="t" fillcolor="black" stroked="f"/>
        </w:pict>
      </w:r>
    </w:p>
    <w:p w:rsidR="0077217A" w:rsidRPr="0077217A" w:rsidRDefault="0077217A" w:rsidP="0077217A">
      <w:pPr>
        <w:widowControl/>
        <w:jc w:val="left"/>
        <w:rPr>
          <w:rFonts w:ascii="仿宋_GB2312" w:eastAsia="仿宋_GB2312" w:hAnsi="宋体" w:cs="宋体" w:hint="eastAsia"/>
          <w:color w:val="000000"/>
          <w:kern w:val="0"/>
          <w:sz w:val="24"/>
          <w:szCs w:val="24"/>
        </w:rPr>
      </w:pPr>
      <w:r w:rsidRPr="0077217A">
        <w:rPr>
          <w:rFonts w:ascii="仿宋_GB2312" w:eastAsia="仿宋_GB2312" w:hAnsi="宋体" w:cs="宋体" w:hint="eastAsia"/>
          <w:color w:val="000000"/>
          <w:kern w:val="0"/>
          <w:sz w:val="24"/>
          <w:szCs w:val="24"/>
        </w:rPr>
        <w:t>财务处拟文</w:t>
      </w:r>
      <w:r>
        <w:rPr>
          <w:rFonts w:ascii="仿宋_GB2312" w:eastAsia="仿宋_GB2312" w:hAnsi="宋体" w:cs="宋体" w:hint="eastAsia"/>
          <w:color w:val="000000"/>
          <w:kern w:val="0"/>
          <w:sz w:val="24"/>
          <w:szCs w:val="24"/>
        </w:rPr>
        <w:t xml:space="preserve">                                        </w:t>
      </w:r>
      <w:r w:rsidRPr="0077217A">
        <w:rPr>
          <w:rFonts w:ascii="仿宋_GB2312" w:eastAsia="仿宋_GB2312" w:hAnsi="宋体" w:cs="宋体" w:hint="eastAsia"/>
          <w:color w:val="000000"/>
          <w:kern w:val="0"/>
          <w:sz w:val="24"/>
          <w:szCs w:val="24"/>
        </w:rPr>
        <w:t>2020年4月29日印发</w:t>
      </w:r>
    </w:p>
    <w:p w:rsidR="0077217A" w:rsidRPr="0077217A" w:rsidRDefault="0077217A" w:rsidP="0077217A">
      <w:pPr>
        <w:widowControl/>
        <w:jc w:val="left"/>
        <w:rPr>
          <w:rFonts w:ascii="宋体" w:eastAsia="宋体" w:hAnsi="宋体" w:cs="宋体" w:hint="eastAsia"/>
          <w:kern w:val="0"/>
          <w:sz w:val="24"/>
          <w:szCs w:val="24"/>
        </w:rPr>
      </w:pPr>
      <w:r w:rsidRPr="0077217A">
        <w:rPr>
          <w:rFonts w:ascii="宋体" w:eastAsia="宋体" w:hAnsi="宋体" w:cs="宋体"/>
          <w:kern w:val="0"/>
          <w:sz w:val="24"/>
          <w:szCs w:val="24"/>
        </w:rPr>
        <w:pict>
          <v:rect id="_x0000_i1027" style="width:928.45pt;height:.75pt" o:hrpct="0" o:hralign="center" o:hrstd="t" o:hrnoshade="t" o:hr="t" fillcolor="black" stroked="f"/>
        </w:pict>
      </w:r>
    </w:p>
    <w:p w:rsidR="001927D2" w:rsidRPr="0077217A" w:rsidRDefault="001927D2">
      <w:pPr>
        <w:rPr>
          <w:sz w:val="24"/>
          <w:szCs w:val="24"/>
        </w:rPr>
      </w:pPr>
    </w:p>
    <w:sectPr w:rsidR="001927D2" w:rsidRPr="007721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9F"/>
    <w:rsid w:val="00041D9F"/>
    <w:rsid w:val="001927D2"/>
    <w:rsid w:val="0077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217A"/>
    <w:rPr>
      <w:b/>
      <w:bCs/>
    </w:rPr>
  </w:style>
  <w:style w:type="paragraph" w:styleId="a5">
    <w:name w:val="Balloon Text"/>
    <w:basedOn w:val="a"/>
    <w:link w:val="Char"/>
    <w:uiPriority w:val="99"/>
    <w:semiHidden/>
    <w:unhideWhenUsed/>
    <w:rsid w:val="0077217A"/>
    <w:rPr>
      <w:sz w:val="18"/>
      <w:szCs w:val="18"/>
    </w:rPr>
  </w:style>
  <w:style w:type="character" w:customStyle="1" w:styleId="Char">
    <w:name w:val="批注框文本 Char"/>
    <w:basedOn w:val="a0"/>
    <w:link w:val="a5"/>
    <w:uiPriority w:val="99"/>
    <w:semiHidden/>
    <w:rsid w:val="007721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217A"/>
    <w:rPr>
      <w:b/>
      <w:bCs/>
    </w:rPr>
  </w:style>
  <w:style w:type="paragraph" w:styleId="a5">
    <w:name w:val="Balloon Text"/>
    <w:basedOn w:val="a"/>
    <w:link w:val="Char"/>
    <w:uiPriority w:val="99"/>
    <w:semiHidden/>
    <w:unhideWhenUsed/>
    <w:rsid w:val="0077217A"/>
    <w:rPr>
      <w:sz w:val="18"/>
      <w:szCs w:val="18"/>
    </w:rPr>
  </w:style>
  <w:style w:type="character" w:customStyle="1" w:styleId="Char">
    <w:name w:val="批注框文本 Char"/>
    <w:basedOn w:val="a0"/>
    <w:link w:val="a5"/>
    <w:uiPriority w:val="99"/>
    <w:semiHidden/>
    <w:rsid w:val="007721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09980">
      <w:bodyDiv w:val="1"/>
      <w:marLeft w:val="0"/>
      <w:marRight w:val="0"/>
      <w:marTop w:val="0"/>
      <w:marBottom w:val="0"/>
      <w:divBdr>
        <w:top w:val="none" w:sz="0" w:space="0" w:color="auto"/>
        <w:left w:val="none" w:sz="0" w:space="0" w:color="auto"/>
        <w:bottom w:val="none" w:sz="0" w:space="0" w:color="auto"/>
        <w:right w:val="none" w:sz="0" w:space="0" w:color="auto"/>
      </w:divBdr>
      <w:divsChild>
        <w:div w:id="207493162">
          <w:marLeft w:val="0"/>
          <w:marRight w:val="0"/>
          <w:marTop w:val="1500"/>
          <w:marBottom w:val="300"/>
          <w:divBdr>
            <w:top w:val="none" w:sz="0" w:space="0" w:color="auto"/>
            <w:left w:val="none" w:sz="0" w:space="0" w:color="auto"/>
            <w:bottom w:val="none" w:sz="0" w:space="0" w:color="auto"/>
            <w:right w:val="none" w:sz="0" w:space="0" w:color="auto"/>
          </w:divBdr>
        </w:div>
        <w:div w:id="22172179">
          <w:marLeft w:val="0"/>
          <w:marRight w:val="0"/>
          <w:marTop w:val="0"/>
          <w:marBottom w:val="0"/>
          <w:divBdr>
            <w:top w:val="none" w:sz="0" w:space="0" w:color="auto"/>
            <w:left w:val="none" w:sz="0" w:space="0" w:color="auto"/>
            <w:bottom w:val="none" w:sz="0" w:space="0" w:color="auto"/>
            <w:right w:val="none" w:sz="0" w:space="0" w:color="auto"/>
          </w:divBdr>
        </w:div>
        <w:div w:id="1035345361">
          <w:marLeft w:val="0"/>
          <w:marRight w:val="0"/>
          <w:marTop w:val="0"/>
          <w:marBottom w:val="0"/>
          <w:divBdr>
            <w:top w:val="none" w:sz="0" w:space="0" w:color="auto"/>
            <w:left w:val="none" w:sz="0" w:space="0" w:color="auto"/>
            <w:bottom w:val="none" w:sz="0" w:space="0" w:color="auto"/>
            <w:right w:val="none" w:sz="0" w:space="0" w:color="auto"/>
          </w:divBdr>
        </w:div>
        <w:div w:id="200200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1949</Characters>
  <Application>Microsoft Office Word</Application>
  <DocSecurity>0</DocSecurity>
  <Lines>16</Lines>
  <Paragraphs>4</Paragraphs>
  <ScaleCrop>false</ScaleCrop>
  <Company>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2020-05-08T07:49:00Z</dcterms:created>
  <dcterms:modified xsi:type="dcterms:W3CDTF">2020-05-08T07:50:00Z</dcterms:modified>
</cp:coreProperties>
</file>